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jc w:val="both"/>
        <w:spacing w:after="0"/>
      </w:pPr>
      <w:r>
        <w:rPr>
          <w:rFonts w:ascii="Times New Roman" w:hAnsi="Times New Roman"/>
          <w:color w:val="auto"/>
          <w:sz w:val="24"/>
          <w:highlight w:val="none"/>
        </w:rPr>
      </w:r>
      <w:r>
        <w:rPr>
          <w:rFonts w:ascii="Times New Roman" w:hAnsi="Times New Roman"/>
          <w:i/>
          <w:iCs/>
          <w:color w:val="auto"/>
          <w:sz w:val="24"/>
          <w:highlight w:val="none"/>
        </w:rPr>
        <w:t xml:space="preserve">Сведения о наличии оборудованных библиотек:</w:t>
      </w:r>
      <w:r>
        <w:rPr>
          <w:rFonts w:ascii="Times New Roman" w:hAnsi="Times New Roman"/>
          <w:color w:val="auto"/>
          <w:sz w:val="24"/>
          <w:szCs w:val="24"/>
          <w:highlight w:val="none"/>
        </w:rPr>
      </w:r>
      <w:r/>
    </w:p>
    <w:p>
      <w:pPr>
        <w:ind w:firstLine="708"/>
        <w:jc w:val="both"/>
        <w:spacing w:after="0"/>
      </w:pPr>
      <w:r>
        <w:rPr>
          <w:rFonts w:ascii="Times New Roman" w:hAnsi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/>
          <w:color w:val="auto"/>
          <w:sz w:val="24"/>
          <w:szCs w:val="24"/>
          <w:highlight w:val="none"/>
        </w:rPr>
      </w:r>
      <w:r/>
    </w:p>
    <w:p>
      <w:pPr>
        <w:ind w:firstLine="708"/>
        <w:jc w:val="both"/>
        <w:spacing w:after="0"/>
      </w:pPr>
      <w:r>
        <w:rPr>
          <w:rFonts w:ascii="Times New Roman" w:hAnsi="Times New Roman"/>
          <w:color w:val="auto"/>
          <w:sz w:val="24"/>
          <w:szCs w:val="24"/>
          <w:highlight w:val="none"/>
        </w:rPr>
        <w:t xml:space="preserve">Библиотека расположена на втором этаже здания в специальном оборудованном помещении. Площадь библиотеки с читальным залом составляет </w:t>
      </w:r>
      <w:r>
        <w:rPr>
          <w:rFonts w:ascii="Times New Roman" w:hAnsi="Times New Roman"/>
          <w:color w:val="auto"/>
          <w:sz w:val="24"/>
          <w:szCs w:val="24"/>
          <w:highlight w:val="none"/>
          <w:lang w:val="en-US"/>
        </w:rPr>
        <w:t xml:space="preserve">46</w:t>
      </w:r>
      <w:r>
        <w:rPr>
          <w:rFonts w:ascii="Times New Roman" w:hAnsi="Times New Roman"/>
          <w:color w:val="auto"/>
          <w:sz w:val="24"/>
          <w:szCs w:val="24"/>
          <w:highlight w:val="none"/>
          <w:lang w:val="ru-RU"/>
        </w:rPr>
        <w:t xml:space="preserve">,1 кв.м.</w:t>
      </w:r>
      <w:r>
        <w:rPr>
          <w:rFonts w:ascii="Times New Roman" w:hAnsi="Times New Roman"/>
          <w:color w:val="auto"/>
          <w:sz w:val="24"/>
          <w:szCs w:val="24"/>
          <w:highlight w:val="none"/>
          <w:lang w:val="ru-RU"/>
        </w:rPr>
      </w:r>
      <w:r/>
    </w:p>
    <w:p>
      <w:pPr>
        <w:spacing w:after="0"/>
      </w:pPr>
      <w:r>
        <w:rPr>
          <w:rFonts w:ascii="Times New Roman" w:hAnsi="Times New Roman"/>
          <w:color w:val="auto"/>
          <w:sz w:val="24"/>
          <w:szCs w:val="24"/>
        </w:rPr>
        <w:t xml:space="preserve">Общая характеристика:</w:t>
      </w:r>
      <w:r>
        <w:rPr>
          <w:rFonts w:ascii="Times New Roman" w:hAnsi="Times New Roman"/>
          <w:color w:val="auto"/>
          <w:sz w:val="24"/>
          <w:szCs w:val="24"/>
        </w:rPr>
      </w:r>
      <w:r/>
    </w:p>
    <w:p>
      <w:pPr>
        <w:numPr>
          <w:ilvl w:val="0"/>
          <w:numId w:val="1"/>
        </w:numPr>
        <w:ind w:left="0" w:firstLine="0"/>
        <w:spacing w:after="0"/>
      </w:pPr>
      <w:r>
        <w:rPr>
          <w:rFonts w:ascii="Times New Roman" w:hAnsi="Times New Roman"/>
          <w:color w:val="auto"/>
          <w:sz w:val="24"/>
          <w:szCs w:val="24"/>
        </w:rPr>
        <w:t xml:space="preserve">объем библиотечного фонда - 2077</w:t>
      </w:r>
      <w:r>
        <w:rPr>
          <w:rFonts w:ascii="Times New Roman" w:hAnsi="Times New Roman"/>
          <w:color w:val="auto"/>
        </w:rPr>
      </w:r>
      <w:r/>
    </w:p>
    <w:p>
      <w:pPr>
        <w:numPr>
          <w:ilvl w:val="0"/>
          <w:numId w:val="1"/>
        </w:numPr>
        <w:ind w:left="0" w:firstLine="0"/>
        <w:spacing w:after="0"/>
      </w:pPr>
      <w:r>
        <w:rPr>
          <w:rFonts w:ascii="Times New Roman" w:hAnsi="Times New Roman"/>
          <w:color w:val="auto"/>
          <w:sz w:val="24"/>
          <w:szCs w:val="24"/>
        </w:rPr>
        <w:t xml:space="preserve">книгообеспеченность</w:t>
      </w:r>
      <w:r>
        <w:rPr>
          <w:rFonts w:ascii="Times New Roman" w:hAnsi="Times New Roman"/>
          <w:color w:val="auto"/>
          <w:sz w:val="24"/>
          <w:szCs w:val="24"/>
        </w:rPr>
        <w:t xml:space="preserve"> - 100%;</w:t>
      </w:r>
      <w:r>
        <w:rPr>
          <w:rFonts w:ascii="Times New Roman" w:hAnsi="Times New Roman"/>
          <w:color w:val="auto"/>
        </w:rPr>
      </w:r>
      <w:r/>
    </w:p>
    <w:p>
      <w:pPr>
        <w:numPr>
          <w:ilvl w:val="0"/>
          <w:numId w:val="1"/>
        </w:numPr>
        <w:ind w:left="0" w:firstLine="0"/>
        <w:spacing w:after="0"/>
      </w:pPr>
      <w:r>
        <w:rPr>
          <w:rFonts w:ascii="Times New Roman" w:hAnsi="Times New Roman"/>
          <w:color w:val="auto"/>
          <w:sz w:val="24"/>
          <w:szCs w:val="24"/>
        </w:rPr>
        <w:t xml:space="preserve">обращаемость - 480 единиц в год;</w:t>
      </w:r>
      <w:r>
        <w:rPr>
          <w:rFonts w:ascii="Times New Roman" w:hAnsi="Times New Roman"/>
          <w:color w:val="auto"/>
        </w:rPr>
      </w:r>
      <w:r/>
    </w:p>
    <w:p>
      <w:pPr>
        <w:numPr>
          <w:ilvl w:val="0"/>
          <w:numId w:val="1"/>
        </w:numPr>
        <w:ind w:left="0" w:firstLine="0"/>
        <w:spacing w:after="0"/>
      </w:pPr>
      <w:r>
        <w:rPr>
          <w:rFonts w:ascii="Times New Roman" w:hAnsi="Times New Roman"/>
          <w:color w:val="auto"/>
          <w:sz w:val="24"/>
          <w:szCs w:val="24"/>
        </w:rPr>
        <w:t xml:space="preserve">объем учебного фонда - 999</w:t>
      </w:r>
      <w:r>
        <w:rPr>
          <w:rFonts w:ascii="Times New Roman" w:hAnsi="Times New Roman"/>
          <w:color w:val="auto"/>
        </w:rPr>
      </w:r>
      <w:r/>
    </w:p>
    <w:p>
      <w:pPr>
        <w:jc w:val="center"/>
        <w:spacing w:after="0"/>
      </w:pPr>
      <w:r>
        <w:rPr>
          <w:rFonts w:hAnsi="Times New Roman"/>
          <w:color w:val="auto"/>
          <w:sz w:val="24"/>
          <w:szCs w:val="24"/>
        </w:rPr>
        <w:t xml:space="preserve">Состав</w:t>
      </w:r>
      <w:r>
        <w:rPr>
          <w:rFonts w:hAnsi="Times New Roman"/>
          <w:color w:val="auto"/>
          <w:sz w:val="24"/>
          <w:szCs w:val="24"/>
        </w:rPr>
        <w:t xml:space="preserve"> </w:t>
      </w:r>
      <w:r>
        <w:rPr>
          <w:rFonts w:hAnsi="Times New Roman"/>
          <w:color w:val="auto"/>
          <w:sz w:val="24"/>
          <w:szCs w:val="24"/>
        </w:rPr>
        <w:t xml:space="preserve">фонда</w:t>
      </w:r>
      <w:r>
        <w:rPr>
          <w:rFonts w:hAnsi="Times New Roman"/>
          <w:color w:val="auto"/>
          <w:sz w:val="24"/>
          <w:szCs w:val="24"/>
        </w:rPr>
        <w:t xml:space="preserve"> </w:t>
      </w:r>
      <w:r>
        <w:rPr>
          <w:rFonts w:hAnsi="Times New Roman"/>
          <w:color w:val="auto"/>
          <w:sz w:val="24"/>
          <w:szCs w:val="24"/>
        </w:rPr>
        <w:t xml:space="preserve">и его</w:t>
      </w:r>
      <w:r>
        <w:rPr>
          <w:rFonts w:hAnsi="Times New Roman"/>
          <w:color w:val="auto"/>
          <w:sz w:val="24"/>
          <w:szCs w:val="24"/>
        </w:rPr>
        <w:t xml:space="preserve"> </w:t>
      </w:r>
      <w:r>
        <w:rPr>
          <w:rFonts w:hAnsi="Times New Roman"/>
          <w:color w:val="auto"/>
          <w:sz w:val="24"/>
          <w:szCs w:val="24"/>
        </w:rPr>
        <w:t xml:space="preserve">использование</w:t>
      </w:r>
      <w:r>
        <w:rPr>
          <w:rFonts w:hAnsi="Times New Roman"/>
          <w:color w:val="auto"/>
          <w:sz w:val="24"/>
          <w:szCs w:val="24"/>
        </w:rPr>
      </w:r>
      <w:r/>
    </w:p>
    <w:tbl>
      <w:tblPr>
        <w:tblStyle w:val="47"/>
        <w:tblW w:w="0" w:type="auto"/>
        <w:tblLayout w:type="fixed"/>
        <w:tblLook w:val="04A0" w:firstRow="1" w:lastRow="0" w:firstColumn="1" w:lastColumn="0" w:noHBand="0" w:noVBand="1"/>
      </w:tblPr>
      <w:tblGrid>
        <w:gridCol w:w="724"/>
        <w:gridCol w:w="4043"/>
        <w:gridCol w:w="2535"/>
        <w:gridCol w:w="2535"/>
      </w:tblGrid>
      <w:tr>
        <w:trPr/>
        <w:tc>
          <w:tcPr>
            <w:tcW w:w="72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t xml:space="preserve">№</w:t>
            </w:r>
            <w:r>
              <w:rPr>
                <w:rFonts w:hAnsi="Times New Roman"/>
                <w:color w:val="auto"/>
                <w:sz w:val="24"/>
                <w:szCs w:val="24"/>
              </w:rPr>
            </w:r>
            <w:r/>
          </w:p>
        </w:tc>
        <w:tc>
          <w:tcPr>
            <w:tcW w:w="404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t xml:space="preserve">Вид</w:t>
            </w:r>
            <w:r>
              <w:rPr>
                <w:rFonts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t xml:space="preserve">литературы</w:t>
            </w:r>
            <w:r>
              <w:rPr>
                <w:rFonts w:hAnsi="Times New Roman"/>
                <w:color w:val="auto"/>
                <w:sz w:val="24"/>
                <w:szCs w:val="24"/>
              </w:rPr>
            </w:r>
            <w:r/>
          </w:p>
        </w:tc>
        <w:tc>
          <w:tcPr>
            <w:tcW w:w="253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t xml:space="preserve">Количество</w:t>
            </w:r>
            <w:r>
              <w:rPr>
                <w:rFonts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t xml:space="preserve">единиц</w:t>
            </w:r>
            <w:r>
              <w:rPr>
                <w:rFonts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t xml:space="preserve">в</w:t>
            </w:r>
            <w:r>
              <w:rPr>
                <w:rFonts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t xml:space="preserve">фонде</w:t>
            </w:r>
            <w:r>
              <w:rPr>
                <w:rFonts w:hAnsi="Times New Roman"/>
                <w:color w:val="auto"/>
                <w:sz w:val="24"/>
                <w:szCs w:val="24"/>
              </w:rPr>
            </w:r>
            <w:r/>
          </w:p>
        </w:tc>
        <w:tc>
          <w:tcPr>
            <w:tcW w:w="253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t xml:space="preserve">Сколько</w:t>
            </w:r>
            <w:r>
              <w:rPr>
                <w:rFonts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t xml:space="preserve">экземпляров</w:t>
            </w:r>
            <w:r>
              <w:rPr>
                <w:rFonts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t xml:space="preserve">выдавалось</w:t>
            </w:r>
            <w:r>
              <w:rPr>
                <w:rFonts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t xml:space="preserve">за</w:t>
            </w:r>
            <w:r>
              <w:rPr>
                <w:rFonts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t xml:space="preserve">год</w:t>
            </w:r>
            <w:r>
              <w:rPr>
                <w:rFonts w:hAnsi="Times New Roman"/>
                <w:color w:val="auto"/>
                <w:sz w:val="24"/>
                <w:szCs w:val="24"/>
              </w:rPr>
            </w:r>
            <w:r/>
          </w:p>
        </w:tc>
      </w:tr>
      <w:tr>
        <w:trPr/>
        <w:tc>
          <w:tcPr>
            <w:tcW w:w="72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/>
          </w:p>
        </w:tc>
        <w:tc>
          <w:tcPr>
            <w:tcW w:w="4043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Учебная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/>
          </w:p>
        </w:tc>
        <w:tc>
          <w:tcPr>
            <w:tcW w:w="253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999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/>
          </w:p>
        </w:tc>
        <w:tc>
          <w:tcPr>
            <w:tcW w:w="253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464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/>
          </w:p>
        </w:tc>
      </w:tr>
      <w:tr>
        <w:trPr/>
        <w:tc>
          <w:tcPr>
            <w:tcW w:w="72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/>
          </w:p>
        </w:tc>
        <w:tc>
          <w:tcPr>
            <w:tcW w:w="4043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Художественная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/>
          </w:p>
        </w:tc>
        <w:tc>
          <w:tcPr>
            <w:tcW w:w="253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367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/>
          </w:p>
        </w:tc>
        <w:tc>
          <w:tcPr>
            <w:tcW w:w="253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250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/>
          </w:p>
        </w:tc>
      </w:tr>
      <w:tr>
        <w:trPr/>
        <w:tc>
          <w:tcPr>
            <w:tcW w:w="72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/>
          </w:p>
        </w:tc>
        <w:tc>
          <w:tcPr>
            <w:tcW w:w="4043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Отра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слевая 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литература (в 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т.ч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. методическая)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/>
          </w:p>
        </w:tc>
        <w:tc>
          <w:tcPr>
            <w:tcW w:w="253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505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/>
          </w:p>
        </w:tc>
        <w:tc>
          <w:tcPr>
            <w:tcW w:w="253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55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/>
          </w:p>
        </w:tc>
      </w:tr>
      <w:tr>
        <w:trPr>
          <w:trHeight w:val="317"/>
        </w:trPr>
        <w:tc>
          <w:tcPr>
            <w:tcW w:w="724" w:type="dxa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/>
          </w:p>
        </w:tc>
        <w:tc>
          <w:tcPr>
            <w:tcW w:w="4043" w:type="dxa"/>
            <w:vMerge w:val="restar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Справочная литература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/>
          </w:p>
        </w:tc>
        <w:tc>
          <w:tcPr>
            <w:tcW w:w="2535" w:type="dxa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128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/>
          </w:p>
        </w:tc>
        <w:tc>
          <w:tcPr>
            <w:tcW w:w="2535" w:type="dxa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68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/>
          </w:p>
        </w:tc>
      </w:tr>
    </w:tbl>
    <w:p>
      <w:pPr>
        <w:jc w:val="center"/>
        <w:spacing w:after="0"/>
      </w:pPr>
      <w:r>
        <w:rPr>
          <w:rFonts w:hAnsi="Times New Roman"/>
          <w:color w:val="auto"/>
          <w:sz w:val="24"/>
          <w:szCs w:val="24"/>
        </w:rPr>
      </w:r>
      <w:r>
        <w:rPr>
          <w:rFonts w:hAnsi="Times New Roman"/>
          <w:color w:val="auto"/>
          <w:sz w:val="24"/>
          <w:szCs w:val="24"/>
        </w:rPr>
      </w:r>
      <w:r/>
    </w:p>
    <w:p>
      <w:pPr>
        <w:ind w:firstLine="708"/>
        <w:jc w:val="both"/>
        <w:spacing w:after="0"/>
      </w:pPr>
      <w:r>
        <w:rPr>
          <w:rFonts w:ascii="Times New Roman" w:hAnsi="Times New Roman"/>
          <w:color w:val="auto"/>
          <w:sz w:val="24"/>
          <w:highlight w:val="white"/>
        </w:rPr>
        <w:t xml:space="preserve">В библиотеке имеются </w:t>
      </w:r>
      <w:r>
        <w:rPr>
          <w:rFonts w:ascii="Times New Roman" w:hAnsi="Times New Roman"/>
          <w:color w:val="auto"/>
          <w:sz w:val="24"/>
          <w:highlight w:val="white"/>
        </w:rPr>
        <w:t xml:space="preserve">электронные образовательные ресурсы – 78 дисков, сетевые образовательные ресурсы – 60, мультимедийные средства - 78 (сказки на татарском языке, мультфильмы,  занятия на английском языке,  дидактические материалы, презентации, электронные энциклопедии) – 6.</w:t>
      </w:r>
      <w:r>
        <w:rPr>
          <w:rFonts w:ascii="Times New Roman" w:hAnsi="Times New Roman"/>
          <w:color w:val="auto"/>
          <w:highlight w:val="white"/>
        </w:rPr>
      </w:r>
      <w:r/>
    </w:p>
    <w:p>
      <w:pPr>
        <w:ind w:firstLine="708"/>
        <w:jc w:val="both"/>
        <w:spacing w:after="0"/>
      </w:pPr>
      <w:r>
        <w:rPr>
          <w:rFonts w:ascii="Times New Roman" w:hAnsi="Times New Roman"/>
          <w:color w:val="auto"/>
          <w:sz w:val="24"/>
          <w:szCs w:val="24"/>
          <w:highlight w:val="white"/>
        </w:rPr>
        <w:t xml:space="preserve">Средний уровень посещаемости библиотеки –25 человек в день</w:t>
      </w:r>
      <w:r>
        <w:rPr>
          <w:rFonts w:ascii="Times New Roman" w:hAnsi="Times New Roman"/>
          <w:color w:val="auto"/>
          <w:sz w:val="24"/>
          <w:highlight w:val="white"/>
        </w:rPr>
        <w:t xml:space="preserve">.</w:t>
      </w:r>
      <w:r>
        <w:rPr>
          <w:rFonts w:ascii="Times New Roman" w:hAnsi="Times New Roman"/>
          <w:color w:val="auto"/>
          <w:sz w:val="24"/>
          <w:szCs w:val="24"/>
          <w:highlight w:val="white"/>
        </w:rPr>
      </w:r>
      <w:r/>
    </w:p>
    <w:p>
      <w:pPr>
        <w:ind w:firstLine="708"/>
        <w:jc w:val="both"/>
        <w:spacing w:after="0"/>
        <w:rPr>
          <w:rFonts w:ascii="Times New Roman" w:hAnsi="Times New Roman"/>
          <w:color w:val="auto"/>
          <w:highlight w:val="white"/>
        </w:rPr>
      </w:pPr>
      <w:r>
        <w:rPr>
          <w:rFonts w:ascii="Times New Roman" w:hAnsi="Times New Roman"/>
          <w:color w:val="auto"/>
          <w:sz w:val="24"/>
          <w:highlight w:val="white"/>
        </w:rPr>
        <w:t xml:space="preserve">На официальном сайте Школы есть страница библиотеки с информацией о работе и проводимых мероприятиях библиотеки Школы.</w:t>
      </w:r>
      <w:r>
        <w:rPr>
          <w:rFonts w:ascii="Times New Roman" w:hAnsi="Times New Roman"/>
          <w:color w:val="auto"/>
          <w:sz w:val="24"/>
          <w:szCs w:val="24"/>
          <w:highlight w:val="white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2024-06-19T07:34:27Z</dcterms:modified>
</cp:coreProperties>
</file>